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237</w:t>
      </w:r>
    </w:p>
    <w:p>
      <w:r>
        <w:t>Bundesgericht (BGE), 1991-08-26, FR</w:t>
      </w:r>
    </w:p>
    <w:p>
      <w:r>
        <w:rPr>
          <w:b/>
        </w:rPr>
        <w:t xml:space="preserve">Quelle: </w:t>
      </w:r>
      <w:r>
        <w:t>https://mcp.opencaselaw.ch/entscheid/bge_117 V 237</w:t>
      </w:r>
    </w:p>
    <w:p>
      <w:r>
        <w:t>FR: ATF 117 V 237</w:t>
      </w:r>
    </w:p>
    <w:p>
      <w:r>
        <w:t>IT: DTF 117 V 237</w:t>
      </w:r>
    </w:p>
    <w:p>
      <w:pPr>
        <w:pStyle w:val="Heading2"/>
      </w:pPr>
      <w:r>
        <w:t>Regeste</w:t>
      </w:r>
    </w:p>
    <w:p>
      <w:r>
        <w:t>Regeste Art. 5 Abs. 1 VwVG, Art. 97 Abs. 1 und 128 OG: Beschwerde gegen einen Rückweisungsentscheid. Weist ein kantonales Gericht die Sache zur Abklärung und "Verfügung" an eine Vorsorgeeinrichtung zurück, so liegt auch dann ein Endentscheid vor, wenn es die Sache bis zum Eingang der "Verfügung" der Vorsorgeeinrichtung auf unbestimmte Zeit vertagt (Erw. 1). Art. 114 Abs. 2 OG in Verbindung mit Art. 132 OG: Rückweisung an die Vorinstanz. Die rechtliche Begründung, mit der das Eidg. Versicherungsgericht eine Sache zurückweist, ist für die Vorinstanz verbindlich. In casu Rückweisung an den kantonalen Richter zur Anordnung einer Begutachtung (Erw. 2). Art. 114 Abs. 2 OG und Art. 73 BVG: Vornahme ergänzender Abklärungen. Der Richter ist nicht befugt, die Sache an die Vorsorgeeinrichtung zurückzuweisen (Anwendung der Rechtsprechung gemäss BGE 115 V 239; Erw. 2).</w:t>
      </w:r>
    </w:p>
    <w:p>
      <w:pPr>
        <w:pStyle w:val="Heading2"/>
      </w:pPr>
      <w:r>
        <w:t>Erwägungen</w:t>
      </w:r>
    </w:p>
    <w:p>
      <w:r>
        <w:rPr>
          <w:b/>
        </w:rPr>
        <w:t>E. 1</w:t>
      </w:r>
    </w:p>
    <w:p>
      <w:r>
        <w:t>Le jugement attaqué, qui, entre autres injonctions, prescrit à la CIA d'ouvrir une procédure de "mise à l'invalidité" et de communiquer sa "décision" à l'autorité judiciaire, est une décision de renvoi. Il ne s'agit pas d'une décision incidente, qui ne serait séparément susceptible de recours que si elle pouvait causer un préjudice irréparable ( art. 5 al. 2 PA et art. 45 al. 1 PA , en liaison avec les art. 97 al. 1 OJ et 128 OJ), mais d'une décision finale. Est une décision finale, en effet, celle qui met un terme à la procédure, qu'il s'agisse d'une décision de fond ou d'une décision qui clôt l'action judiciaire en raison d'un motif tiré des règles de la procédure ( ATF 115 II 104 consid. 2a, ATF 110 Ia 134 , ATF 107 Ib 343 consid. 1, 221 consid. 1). Or, à teneur du jugement cantonal, il incombe à la CIA d'instruire elle-même le cas - ce qui implique qu'elle prenne l'avis de la commission médicale prévue par l'art. 38 de ses statuts (composée du médecin-conseil de la caisse, du médecin-conseil de l'Etat et d'un médecin choisi par l'affilié) - et de rendre une "décision". Même si la juridiction cantonale déclare "ajourner la cause sine die", dans l'attente de cette "décision", son jugement n'en est pas moins assimilable, quant à ses effets, à une décision de renvoi pur et simple, mettant fin à la procédure engagée devant elle. Le jugement cantonal pouvait donc être attaqué immédiatement et de façon indépendante, de sorte que le recours est recevable, conformément aux dispositions générales ( art. 97 al. 1 OJ et art. 128 OJ en liaison avec l' art. 5 al. 1 PA ).</w:t>
      </w:r>
    </w:p>
    <w:p>
      <w:r>
        <w:rPr>
          <w:b/>
        </w:rPr>
        <w:t>E. 2</w:t>
      </w:r>
    </w:p>
    <w:p>
      <w:r>
        <w:t>Dans son arrêt du 12 juillet 1990, le Tribunal fédéral des assurances a invité la Cour de justice à mettre en oeuvre une expertise médicale et à se prononcer ensuite sur la prétention du recourant à une pension d'invalidité. Si cette prétention devait être rejetée, la cour cantonale avait alors à fixer le montant de la prestation de libre passage revenant à l'intéressé. a) Les considérants de droit par lesquels une autorité motive le renvoi d'une affaire à l'autorité inférieure lient cette dernière ( ATF 113 V 159 consid. 1c). Pour ce qui est de la procédure fédérale, ce principe est exprimé en matière pénale à l' art. 277ter al. 2 PPF (cf. aussi PIQUEREZ, Application du principe de la bonne foi et de la règle de l'interdiction de la reformatio in pejus dans le domaine des voies de recours, Revue jurassienne de jurisprudence, 1991/1, p. 96) et en matière civile à l' art. 66 al. 1 OJ (voir à ce sujet: BGE 117 V 237 S. 242 POUDRET/SANDOZ, Commentaire de la loi fédérale d'organisation judiciaire, vol. II, note 1.3 ad art. 66). Il est applicable même en l'absence de texte et vaut aussi, par conséquent, dans la procédure administrative en général ( ATF 94 I 388 consid. 2; GRISEL, Traité de droit administratif, p. 869; GYGI, Bundesverwaltungsrechtspflege, 2e éd., p. 232). Pour cette raison déjà, il incombait à la juridiction cantonale, et à elle seule, d'instruire l'affaire et de statuer sur le fond. Etant liée par les directives impératives du Tribunal fédéral des assurances, elle ne pouvait se décharger de ses tâches sur l'institution de prévoyance, même si elle partait de l'idée que l'intéressé conservait la possibilité de saisir à nouveau le juge, s'il n'obtenait pas satisfaction au terme de la procédure de "mise à l'invalidité" que la CIA avait pour mission d'ouvrir. b) Un autre motif faisait aussi obstacle à une décision de renvoi à la CIA. En matière de prévoyance professionnelle, en effet, le juge ne saurait renvoyer une affaire aux organes de l'assurance pour instruction complémentaire et nouveau prononcé. Car la procédure prévue par l' art. 73 LPP n'est pas déclenchée par une décision (les institutions de prévoyance, de droit public ou de droit privé, n'étant pas habilitées à statuer au moyen d'une telle décision; ATF 115 V 224 ), mais par une simple prise de position, laquelle ne peut s'imposer qu'en vertu de la décision d'un tribunal saisi par la voie de l'action ( ATF 115 V 239 ). Or, une décision de renvoi n'a de sens que si l'autorité inférieure a le pouvoir de statuer derechef, selon les instructions de l'autorité supérieure ( ATF 115 V 243 ; GYGI, op.cit., p. 232). C'est d'ailleurs pour cette raison que l' art. 114 al. 2 OJ ne permet le renvoi à l'autorité qui a statué en première instance qu'à la condition que l'autorité inférieure ait tranché sur recours. c) La solution adoptée par les premiers juges est en même temps contestable sous l'angle des garanties qui doivent être reconnues à tout justiciable. Elle revient en fait à déléguer le pouvoir d'administrer - ou de faire administrer - des preuves à une partie qui n'est pas soumise aux dispositions de procédure adoptées par les cantons en exécution de l' art. 73 al. 2 LPP ou aux règles de la procédure administrative en général. L'instruction par l'autorité judiciaire accorde en revanche au plaideur, entre autres garanties, celle découlant des règles (cantonales) sur la récusation, d'un expert p.ex.; elle lui offre aussi les garanties minimales de procédure BGE 117 V 237 S. 243 prescrites par l' art. 73 al. 2 LPP (procédure simple et, en principe, gratuite; principe de l'instruction d'office). d) Pour toutes ces raisons, le jugement attaqué doit être annulé. Il n'est pas nécessaire, dans ces conditions, de se prononcer sur la validité de l'art. 38 des statuts de la CIA (prévoyant la demande d'un rapport à la commission médicale ad hoc, ainsi que la mise éventuelle des frais d'expertise à la charge du demandeur), disposition critiquée par le recourant à l'appui de sa conclusion subsidiaire. C'est inutilement, par ailleurs, que le recourant voudrait que le Tribunal fédéral des assurances invite encore la Cour de justice à solliciter "de l'Etat ou d'une institution externe des offres de travail en rapport avec les conclusions de l'expertise". Les considérants de l'arrêt du 12 juillet 1990 lient également le Tribunal fédéral des assurances ( ATF 94 I 389 consid. 2; GRISEL, op.cit., p. 869), qui ne saurait, par conséquent, donner de nouvelles instructions à la Cour de justice à l'occasion du présent procès.</w:t>
      </w:r>
    </w:p>
    <w:p>
      <w:r>
        <w:rPr>
          <w:b/>
        </w:rPr>
        <w:t>E. 3</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